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DBD26" w14:textId="77777777" w:rsidR="00580840" w:rsidRDefault="00580840" w:rsidP="00625E21">
      <w:pPr>
        <w:pBdr>
          <w:bottom w:val="single" w:sz="12" w:space="1" w:color="auto"/>
        </w:pBdr>
        <w:spacing w:after="0" w:line="240" w:lineRule="auto"/>
        <w:jc w:val="center"/>
        <w:rPr>
          <w:rFonts w:ascii="Helvetica" w:eastAsia="Times New Roman" w:hAnsi="Helvetica" w:cs="Helvetica"/>
          <w:b/>
          <w:sz w:val="33"/>
          <w:szCs w:val="21"/>
        </w:rPr>
      </w:pPr>
      <w:r w:rsidRPr="00580840">
        <w:rPr>
          <w:rFonts w:ascii="Helvetica" w:eastAsia="Times New Roman" w:hAnsi="Helvetica" w:cs="Helvetica"/>
          <w:b/>
          <w:sz w:val="33"/>
          <w:szCs w:val="21"/>
        </w:rPr>
        <w:t>What Does Senate Bill 76 Do?</w:t>
      </w:r>
    </w:p>
    <w:p w14:paraId="57AE5CBB" w14:textId="77777777" w:rsidR="00580840" w:rsidRPr="00625E21" w:rsidRDefault="00580840" w:rsidP="00580840">
      <w:pPr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625E21">
        <w:rPr>
          <w:rFonts w:ascii="Helvetica" w:eastAsia="Times New Roman" w:hAnsi="Helvetica" w:cs="Helvetica"/>
        </w:rPr>
        <w:t>Senate Bill 76 would re-organiz</w:t>
      </w:r>
      <w:r w:rsidR="00043B22" w:rsidRPr="00625E21">
        <w:rPr>
          <w:rFonts w:ascii="Helvetica" w:eastAsia="Times New Roman" w:hAnsi="Helvetica" w:cs="Helvetica"/>
        </w:rPr>
        <w:t>e</w:t>
      </w:r>
      <w:r w:rsidRPr="00625E21">
        <w:rPr>
          <w:rFonts w:ascii="Helvetica" w:eastAsia="Times New Roman" w:hAnsi="Helvetica" w:cs="Helvetica"/>
        </w:rPr>
        <w:t xml:space="preserve"> the state’s taxation and educational systems, with vast negative consequences for Pennsylvania’s schools, its workers and consumers, and the economy of the commonwealth. SB 76: </w:t>
      </w:r>
    </w:p>
    <w:p w14:paraId="57284A93" w14:textId="77777777" w:rsidR="00580840" w:rsidRPr="00580840" w:rsidRDefault="00580840" w:rsidP="00580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b/>
          <w:bCs/>
          <w:szCs w:val="21"/>
        </w:rPr>
        <w:t>Eliminates all school property taxes</w:t>
      </w:r>
      <w:r w:rsidRPr="00580840">
        <w:rPr>
          <w:rFonts w:ascii="Helvetica" w:eastAsia="Times New Roman" w:hAnsi="Helvetica" w:cs="Helvetica"/>
          <w:szCs w:val="21"/>
        </w:rPr>
        <w:t xml:space="preserve"> except those needed to pay outstanding construction debt.</w:t>
      </w:r>
      <w:r w:rsidRPr="00580840">
        <w:rPr>
          <w:rFonts w:ascii="Helvetica" w:eastAsia="Times New Roman" w:hAnsi="Helvetica" w:cs="Helvetica"/>
          <w:szCs w:val="21"/>
        </w:rPr>
        <w:br/>
        <w:t> </w:t>
      </w:r>
    </w:p>
    <w:p w14:paraId="3FC1BEAC" w14:textId="77777777" w:rsidR="00580840" w:rsidRPr="00580840" w:rsidRDefault="00580840" w:rsidP="00580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b/>
          <w:bCs/>
          <w:szCs w:val="21"/>
        </w:rPr>
        <w:t>Makes permanent the state budget cuts to education</w:t>
      </w:r>
      <w:r w:rsidRPr="00580840">
        <w:rPr>
          <w:rFonts w:ascii="Helvetica" w:eastAsia="Times New Roman" w:hAnsi="Helvetica" w:cs="Helvetica"/>
          <w:szCs w:val="21"/>
        </w:rPr>
        <w:t xml:space="preserve"> enacted in recent years by basing school district funding on current funding levels.</w:t>
      </w:r>
      <w:r w:rsidRPr="00580840">
        <w:rPr>
          <w:rFonts w:ascii="Helvetica" w:eastAsia="Times New Roman" w:hAnsi="Helvetica" w:cs="Helvetica"/>
          <w:szCs w:val="21"/>
        </w:rPr>
        <w:br/>
        <w:t> </w:t>
      </w:r>
    </w:p>
    <w:p w14:paraId="06BC9B17" w14:textId="76650833" w:rsidR="00580840" w:rsidRPr="00580840" w:rsidRDefault="00580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b/>
          <w:bCs/>
          <w:szCs w:val="21"/>
        </w:rPr>
        <w:t>Drains billions of dollars from public schools in upcoming years</w:t>
      </w:r>
      <w:r w:rsidRPr="00580840">
        <w:rPr>
          <w:rFonts w:ascii="Helvetica" w:eastAsia="Times New Roman" w:hAnsi="Helvetica" w:cs="Helvetica"/>
          <w:szCs w:val="21"/>
        </w:rPr>
        <w:t xml:space="preserve"> by artificially capping state education funding at a rate that is not connected to actual costs. SB 76 would cap education funding </w:t>
      </w:r>
      <w:r w:rsidR="000B425E">
        <w:rPr>
          <w:rFonts w:ascii="Helvetica" w:eastAsia="Times New Roman" w:hAnsi="Helvetica" w:cs="Helvetica"/>
          <w:szCs w:val="21"/>
        </w:rPr>
        <w:t>increases</w:t>
      </w:r>
      <w:r w:rsidR="000B425E" w:rsidRPr="00580840">
        <w:rPr>
          <w:rFonts w:ascii="Helvetica" w:eastAsia="Times New Roman" w:hAnsi="Helvetica" w:cs="Helvetica"/>
          <w:szCs w:val="21"/>
        </w:rPr>
        <w:t xml:space="preserve"> </w:t>
      </w:r>
      <w:r w:rsidRPr="00580840">
        <w:rPr>
          <w:rFonts w:ascii="Helvetica" w:eastAsia="Times New Roman" w:hAnsi="Helvetica" w:cs="Helvetica"/>
          <w:szCs w:val="21"/>
        </w:rPr>
        <w:t>by linking it to growth in sales tax</w:t>
      </w:r>
      <w:r w:rsidR="000B425E">
        <w:rPr>
          <w:rFonts w:ascii="Helvetica" w:eastAsia="Times New Roman" w:hAnsi="Helvetica" w:cs="Helvetica"/>
          <w:szCs w:val="21"/>
        </w:rPr>
        <w:t xml:space="preserve"> revenue</w:t>
      </w:r>
      <w:r w:rsidRPr="00580840">
        <w:rPr>
          <w:rFonts w:ascii="Helvetica" w:eastAsia="Times New Roman" w:hAnsi="Helvetica" w:cs="Helvetica"/>
          <w:szCs w:val="21"/>
        </w:rPr>
        <w:t xml:space="preserve"> or </w:t>
      </w:r>
      <w:r w:rsidR="00E2117E">
        <w:rPr>
          <w:rFonts w:ascii="Helvetica" w:eastAsia="Times New Roman" w:hAnsi="Helvetica" w:cs="Helvetica"/>
          <w:szCs w:val="21"/>
        </w:rPr>
        <w:t>growth</w:t>
      </w:r>
      <w:r w:rsidR="000B425E">
        <w:rPr>
          <w:rFonts w:ascii="Helvetica" w:eastAsia="Times New Roman" w:hAnsi="Helvetica" w:cs="Helvetica"/>
          <w:szCs w:val="21"/>
        </w:rPr>
        <w:t xml:space="preserve"> in </w:t>
      </w:r>
      <w:r w:rsidRPr="00580840">
        <w:rPr>
          <w:rFonts w:ascii="Helvetica" w:eastAsia="Times New Roman" w:hAnsi="Helvetica" w:cs="Helvetica"/>
          <w:szCs w:val="21"/>
        </w:rPr>
        <w:t>the statewide “average weekly wage” (calculated by the Bureau of Labor Statistics) in the previous year</w:t>
      </w:r>
      <w:r w:rsidR="000B425E">
        <w:rPr>
          <w:rFonts w:ascii="Helvetica" w:eastAsia="Times New Roman" w:hAnsi="Helvetica" w:cs="Helvetica"/>
          <w:szCs w:val="21"/>
        </w:rPr>
        <w:t xml:space="preserve"> – </w:t>
      </w:r>
      <w:r w:rsidRPr="00B72060">
        <w:rPr>
          <w:rFonts w:ascii="Helvetica" w:eastAsia="Times New Roman" w:hAnsi="Helvetica" w:cs="Helvetica"/>
          <w:i/>
          <w:iCs/>
          <w:szCs w:val="21"/>
        </w:rPr>
        <w:t>whichever is less</w:t>
      </w:r>
      <w:r w:rsidRPr="00580840">
        <w:rPr>
          <w:rFonts w:ascii="Helvetica" w:eastAsia="Times New Roman" w:hAnsi="Helvetica" w:cs="Helvetica"/>
          <w:szCs w:val="21"/>
        </w:rPr>
        <w:t>. The state’s Independent Fiscal Office projects that schools would receive $2.6 billion less in funding by 2018-19 under SB 76 than could be expected from the current system.</w:t>
      </w:r>
      <w:r w:rsidRPr="00580840">
        <w:rPr>
          <w:rFonts w:ascii="Helvetica" w:eastAsia="Times New Roman" w:hAnsi="Helvetica" w:cs="Helvetica"/>
          <w:szCs w:val="21"/>
        </w:rPr>
        <w:br/>
        <w:t> </w:t>
      </w:r>
    </w:p>
    <w:p w14:paraId="0C96633A" w14:textId="77777777" w:rsidR="00580840" w:rsidRPr="00580840" w:rsidRDefault="00580840" w:rsidP="00580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b/>
          <w:bCs/>
          <w:szCs w:val="21"/>
        </w:rPr>
        <w:t xml:space="preserve">Undermines local control over school funding and hands funding decisions to Harrisburg. </w:t>
      </w:r>
      <w:r w:rsidRPr="00580840">
        <w:rPr>
          <w:rFonts w:ascii="Helvetica" w:eastAsia="Times New Roman" w:hAnsi="Helvetica" w:cs="Helvetica"/>
          <w:szCs w:val="21"/>
        </w:rPr>
        <w:t>School district</w:t>
      </w:r>
      <w:r w:rsidR="000B425E">
        <w:rPr>
          <w:rFonts w:ascii="Helvetica" w:eastAsia="Times New Roman" w:hAnsi="Helvetica" w:cs="Helvetica"/>
          <w:szCs w:val="21"/>
        </w:rPr>
        <w:t>s</w:t>
      </w:r>
      <w:r w:rsidRPr="00580840">
        <w:rPr>
          <w:rFonts w:ascii="Helvetica" w:eastAsia="Times New Roman" w:hAnsi="Helvetica" w:cs="Helvetica"/>
          <w:szCs w:val="21"/>
        </w:rPr>
        <w:t xml:space="preserve"> are prohibited from levying property taxes. Earned income, net profits, and personal income taxes are allowable</w:t>
      </w:r>
      <w:r w:rsidR="000B425E">
        <w:rPr>
          <w:rFonts w:ascii="Helvetica" w:eastAsia="Times New Roman" w:hAnsi="Helvetica" w:cs="Helvetica"/>
          <w:szCs w:val="21"/>
        </w:rPr>
        <w:t>,</w:t>
      </w:r>
      <w:r w:rsidRPr="00580840">
        <w:rPr>
          <w:rFonts w:ascii="Helvetica" w:eastAsia="Times New Roman" w:hAnsi="Helvetica" w:cs="Helvetica"/>
          <w:szCs w:val="21"/>
        </w:rPr>
        <w:t xml:space="preserve"> but require a voter referendum.</w:t>
      </w:r>
      <w:r w:rsidRPr="00580840">
        <w:rPr>
          <w:rFonts w:ascii="Helvetica" w:eastAsia="Times New Roman" w:hAnsi="Helvetica" w:cs="Helvetica"/>
          <w:szCs w:val="21"/>
        </w:rPr>
        <w:br/>
        <w:t> </w:t>
      </w:r>
    </w:p>
    <w:p w14:paraId="00695F72" w14:textId="1CF89187" w:rsidR="00580840" w:rsidRPr="00580840" w:rsidRDefault="00580840" w:rsidP="00580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b/>
          <w:bCs/>
          <w:szCs w:val="21"/>
        </w:rPr>
        <w:t>Raises other taxes</w:t>
      </w:r>
      <w:r w:rsidR="00E2117E">
        <w:rPr>
          <w:rFonts w:ascii="Helvetica" w:eastAsia="Times New Roman" w:hAnsi="Helvetica" w:cs="Helvetica"/>
          <w:b/>
          <w:bCs/>
          <w:szCs w:val="21"/>
        </w:rPr>
        <w:t xml:space="preserve">. </w:t>
      </w:r>
      <w:r w:rsidR="00E2117E">
        <w:rPr>
          <w:rFonts w:ascii="Helvetica" w:eastAsia="Times New Roman" w:hAnsi="Helvetica" w:cs="Helvetica"/>
          <w:szCs w:val="21"/>
        </w:rPr>
        <w:t>T</w:t>
      </w:r>
      <w:r w:rsidRPr="00580840">
        <w:rPr>
          <w:rFonts w:ascii="Helvetica" w:eastAsia="Times New Roman" w:hAnsi="Helvetica" w:cs="Helvetica"/>
          <w:szCs w:val="21"/>
        </w:rPr>
        <w:t>he personal income tax would go from 3.07% to 4.34%, and the sales tax from 6% to 7%.</w:t>
      </w:r>
      <w:r w:rsidRPr="00580840">
        <w:rPr>
          <w:rFonts w:ascii="Helvetica" w:eastAsia="Times New Roman" w:hAnsi="Helvetica" w:cs="Helvetica"/>
          <w:szCs w:val="21"/>
        </w:rPr>
        <w:br/>
        <w:t> </w:t>
      </w:r>
    </w:p>
    <w:p w14:paraId="657F54CE" w14:textId="77777777" w:rsidR="00580840" w:rsidRPr="00580840" w:rsidRDefault="00580840" w:rsidP="00580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b/>
          <w:bCs/>
          <w:szCs w:val="21"/>
        </w:rPr>
        <w:t>Jeopardizes school funding by relying on more volatile sources of funding</w:t>
      </w:r>
      <w:r w:rsidRPr="00580840">
        <w:rPr>
          <w:rFonts w:ascii="Helvetica" w:eastAsia="Times New Roman" w:hAnsi="Helvetica" w:cs="Helvetica"/>
          <w:szCs w:val="21"/>
        </w:rPr>
        <w:t>, since income and sales tax revenue can drop significantly during a bad economy.</w:t>
      </w:r>
      <w:r w:rsidRPr="00580840">
        <w:rPr>
          <w:rFonts w:ascii="Helvetica" w:eastAsia="Times New Roman" w:hAnsi="Helvetica" w:cs="Helvetica"/>
          <w:szCs w:val="21"/>
        </w:rPr>
        <w:br/>
        <w:t> </w:t>
      </w:r>
    </w:p>
    <w:p w14:paraId="60E54C1C" w14:textId="4396521F" w:rsidR="00580840" w:rsidRPr="00580840" w:rsidRDefault="00580840" w:rsidP="00580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b/>
          <w:bCs/>
          <w:szCs w:val="21"/>
        </w:rPr>
        <w:t>Imposes a sales tax on food for the first time, making Pennsylvania one of only three states to tax food</w:t>
      </w:r>
      <w:r w:rsidR="000B425E">
        <w:rPr>
          <w:rFonts w:ascii="Helvetica" w:eastAsia="Times New Roman" w:hAnsi="Helvetica" w:cs="Helvetica"/>
          <w:b/>
          <w:bCs/>
          <w:szCs w:val="21"/>
        </w:rPr>
        <w:t xml:space="preserve"> at the full rate</w:t>
      </w:r>
      <w:r w:rsidRPr="00B72060">
        <w:rPr>
          <w:rFonts w:ascii="Helvetica" w:eastAsia="Times New Roman" w:hAnsi="Helvetica" w:cs="Helvetica"/>
          <w:b/>
          <w:bCs/>
          <w:szCs w:val="21"/>
        </w:rPr>
        <w:t>.</w:t>
      </w:r>
      <w:r w:rsidRPr="00580840">
        <w:rPr>
          <w:rFonts w:ascii="Helvetica" w:eastAsia="Times New Roman" w:hAnsi="Helvetica" w:cs="Helvetica"/>
          <w:szCs w:val="21"/>
        </w:rPr>
        <w:t xml:space="preserve"> Only WIC-eligible items would be exempted</w:t>
      </w:r>
      <w:r w:rsidR="000B425E">
        <w:rPr>
          <w:rFonts w:ascii="Helvetica" w:eastAsia="Times New Roman" w:hAnsi="Helvetica" w:cs="Helvetica"/>
          <w:szCs w:val="21"/>
        </w:rPr>
        <w:t>, while most foods</w:t>
      </w:r>
      <w:r w:rsidR="00E2117E">
        <w:rPr>
          <w:rFonts w:ascii="Helvetica" w:eastAsia="Times New Roman" w:hAnsi="Helvetica" w:cs="Helvetica"/>
          <w:szCs w:val="21"/>
        </w:rPr>
        <w:t xml:space="preserve"> – </w:t>
      </w:r>
      <w:r w:rsidR="000B425E">
        <w:rPr>
          <w:rFonts w:ascii="Helvetica" w:eastAsia="Times New Roman" w:hAnsi="Helvetica" w:cs="Helvetica"/>
          <w:szCs w:val="21"/>
        </w:rPr>
        <w:t>including meat, poultry, fresh or frozen fish, and yogurt</w:t>
      </w:r>
      <w:r w:rsidR="00E2117E">
        <w:rPr>
          <w:rFonts w:ascii="Helvetica" w:eastAsia="Times New Roman" w:hAnsi="Helvetica" w:cs="Helvetica"/>
          <w:szCs w:val="21"/>
        </w:rPr>
        <w:t xml:space="preserve"> – </w:t>
      </w:r>
      <w:r w:rsidR="000B425E">
        <w:rPr>
          <w:rFonts w:ascii="Helvetica" w:eastAsia="Times New Roman" w:hAnsi="Helvetica" w:cs="Helvetica"/>
          <w:szCs w:val="21"/>
        </w:rPr>
        <w:t>would be subject to the 7% sales tax</w:t>
      </w:r>
      <w:r w:rsidRPr="00580840">
        <w:rPr>
          <w:rFonts w:ascii="Helvetica" w:eastAsia="Times New Roman" w:hAnsi="Helvetica" w:cs="Helvetica"/>
          <w:szCs w:val="21"/>
        </w:rPr>
        <w:t>.</w:t>
      </w:r>
      <w:r w:rsidRPr="00580840">
        <w:rPr>
          <w:rFonts w:ascii="Helvetica" w:eastAsia="Times New Roman" w:hAnsi="Helvetica" w:cs="Helvetica"/>
          <w:szCs w:val="21"/>
        </w:rPr>
        <w:br/>
        <w:t> </w:t>
      </w:r>
    </w:p>
    <w:p w14:paraId="57A5BE43" w14:textId="77777777" w:rsidR="00580840" w:rsidRPr="00580840" w:rsidRDefault="00580840" w:rsidP="00580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b/>
          <w:bCs/>
          <w:szCs w:val="21"/>
        </w:rPr>
        <w:t>Expands the sales tax to a range of products and services,</w:t>
      </w:r>
      <w:r w:rsidRPr="00580840">
        <w:rPr>
          <w:rFonts w:ascii="Helvetica" w:eastAsia="Times New Roman" w:hAnsi="Helvetica" w:cs="Helvetica"/>
          <w:szCs w:val="21"/>
        </w:rPr>
        <w:t xml:space="preserve"> including child care services, clothing and footwear over $50, dry cleaning charges, non-prescription medications, hair salons, funeral expenses, non-tuition fees at some colleges, non-housing charges at many nursing care facilities, many legal &amp; accounting services, garbage collection, tow truck charges, parking fees, taxis, public transit, and in-state train, plane, and charter bus transportation.</w:t>
      </w:r>
      <w:r w:rsidRPr="00580840">
        <w:rPr>
          <w:rFonts w:ascii="Helvetica" w:eastAsia="Times New Roman" w:hAnsi="Helvetica" w:cs="Helvetica"/>
          <w:szCs w:val="21"/>
        </w:rPr>
        <w:br/>
        <w:t> </w:t>
      </w:r>
    </w:p>
    <w:p w14:paraId="0C81065B" w14:textId="77777777" w:rsidR="00580840" w:rsidRPr="00580840" w:rsidRDefault="00580840" w:rsidP="00580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b/>
          <w:bCs/>
          <w:szCs w:val="21"/>
        </w:rPr>
        <w:t>While applying sales tax to most services used by individuals and families, the legislation exempts many business-to-business services from the sales tax</w:t>
      </w:r>
      <w:r w:rsidRPr="00580840">
        <w:rPr>
          <w:rFonts w:ascii="Helvetica" w:eastAsia="Times New Roman" w:hAnsi="Helvetica" w:cs="Helvetica"/>
          <w:szCs w:val="21"/>
        </w:rPr>
        <w:t>.</w:t>
      </w:r>
      <w:r w:rsidRPr="00580840">
        <w:rPr>
          <w:rFonts w:ascii="Helvetica" w:eastAsia="Times New Roman" w:hAnsi="Helvetica" w:cs="Helvetica"/>
          <w:szCs w:val="21"/>
        </w:rPr>
        <w:br/>
        <w:t> </w:t>
      </w:r>
    </w:p>
    <w:p w14:paraId="2CF1F377" w14:textId="1D337340" w:rsidR="00E2117E" w:rsidRDefault="00580840" w:rsidP="00625E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72060">
        <w:rPr>
          <w:rFonts w:ascii="Helvetica" w:eastAsia="Times New Roman" w:hAnsi="Helvetica" w:cs="Helvetica"/>
          <w:b/>
          <w:bCs/>
          <w:szCs w:val="21"/>
        </w:rPr>
        <w:t>Eliminates all property taxes for corporations</w:t>
      </w:r>
      <w:r w:rsidRPr="00580840">
        <w:rPr>
          <w:rFonts w:ascii="Helvetica" w:eastAsia="Times New Roman" w:hAnsi="Helvetica" w:cs="Helvetica"/>
          <w:szCs w:val="21"/>
        </w:rPr>
        <w:t xml:space="preserve"> that own shopping malls, factories, skyscrapers, and other commercial enterprises, shifting the cost to individual taxpayers and small businesses. Over 23% of all assessed property in Pennsylvania is commercial or industrial, much of which is corporate</w:t>
      </w:r>
      <w:r w:rsidR="00DD0CA1" w:rsidRPr="00B72060">
        <w:rPr>
          <w:rFonts w:ascii="Helvetica" w:eastAsia="Times New Roman" w:hAnsi="Helvetica" w:cs="Helvetica"/>
          <w:szCs w:val="21"/>
        </w:rPr>
        <w:t>-</w:t>
      </w:r>
      <w:r w:rsidRPr="00580840">
        <w:rPr>
          <w:rFonts w:ascii="Helvetica" w:eastAsia="Times New Roman" w:hAnsi="Helvetica" w:cs="Helvetica"/>
          <w:szCs w:val="21"/>
        </w:rPr>
        <w:t>owned.</w:t>
      </w:r>
      <w:r w:rsidRPr="00580840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5915F039" w14:textId="7C183AB4" w:rsidR="00E2117E" w:rsidRPr="00625E21" w:rsidRDefault="000D017A" w:rsidP="00625E21">
      <w:pPr>
        <w:ind w:left="36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P</w:t>
      </w:r>
      <w:r w:rsidR="00E2117E" w:rsidRPr="00625E21">
        <w:rPr>
          <w:rFonts w:ascii="Helvetica" w:eastAsia="Times New Roman" w:hAnsi="Helvetica" w:cs="Helvetica"/>
          <w:sz w:val="21"/>
          <w:szCs w:val="21"/>
        </w:rPr>
        <w:t>BPC</w:t>
      </w:r>
      <w:r w:rsidR="00E2117E" w:rsidRPr="00625E21">
        <w:rPr>
          <w:rFonts w:ascii="Helvetica" w:eastAsia="Times New Roman" w:hAnsi="Helvetica" w:cs="Helvetica"/>
          <w:sz w:val="21"/>
          <w:szCs w:val="21"/>
        </w:rPr>
        <w:tab/>
      </w:r>
      <w:r w:rsidR="00E2117E" w:rsidRPr="00625E21">
        <w:rPr>
          <w:rFonts w:ascii="Helvetica" w:eastAsia="Times New Roman" w:hAnsi="Helvetica" w:cs="Helvetica"/>
          <w:sz w:val="21"/>
          <w:szCs w:val="21"/>
        </w:rPr>
        <w:tab/>
      </w:r>
      <w:r w:rsidR="00E2117E" w:rsidRPr="00625E21">
        <w:rPr>
          <w:rFonts w:ascii="Helvetica" w:eastAsia="Times New Roman" w:hAnsi="Helvetica" w:cs="Helvetica"/>
          <w:sz w:val="21"/>
          <w:szCs w:val="21"/>
        </w:rPr>
        <w:tab/>
      </w:r>
      <w:r w:rsidR="00E2117E" w:rsidRPr="00625E21">
        <w:rPr>
          <w:rFonts w:ascii="Helvetica" w:eastAsia="Times New Roman" w:hAnsi="Helvetica" w:cs="Helvetica"/>
          <w:sz w:val="21"/>
          <w:szCs w:val="21"/>
        </w:rPr>
        <w:tab/>
        <w:t>September, 2014</w:t>
      </w:r>
      <w:r w:rsidR="00E2117E" w:rsidRPr="00625E21">
        <w:rPr>
          <w:rFonts w:ascii="Helvetica" w:eastAsia="Times New Roman" w:hAnsi="Helvetica" w:cs="Helvetica"/>
          <w:sz w:val="21"/>
          <w:szCs w:val="21"/>
        </w:rPr>
        <w:tab/>
      </w:r>
      <w:r w:rsidR="00E2117E" w:rsidRPr="00625E21">
        <w:rPr>
          <w:rFonts w:ascii="Helvetica" w:eastAsia="Times New Roman" w:hAnsi="Helvetica" w:cs="Helvetica"/>
          <w:sz w:val="21"/>
          <w:szCs w:val="21"/>
        </w:rPr>
        <w:tab/>
      </w:r>
      <w:r w:rsidR="00E2117E" w:rsidRPr="00625E21">
        <w:rPr>
          <w:rFonts w:ascii="Helvetica" w:eastAsia="Times New Roman" w:hAnsi="Helvetica" w:cs="Helvetica"/>
          <w:sz w:val="21"/>
          <w:szCs w:val="21"/>
        </w:rPr>
        <w:tab/>
        <w:t>www.pennbpc.org</w:t>
      </w:r>
    </w:p>
    <w:p w14:paraId="69ADE7E1" w14:textId="77777777" w:rsidR="009977CB" w:rsidRPr="00625E21" w:rsidRDefault="00B72060" w:rsidP="001A7488">
      <w:pPr>
        <w:jc w:val="center"/>
        <w:rPr>
          <w:rFonts w:ascii="Helvetica" w:eastAsia="Times New Roman" w:hAnsi="Helvetica" w:cs="Helvetica"/>
          <w:b/>
          <w:sz w:val="33"/>
          <w:szCs w:val="33"/>
        </w:rPr>
      </w:pPr>
      <w:r w:rsidRPr="00625E21">
        <w:rPr>
          <w:rFonts w:ascii="Helvetica" w:eastAsia="Times New Roman" w:hAnsi="Helvetica" w:cs="Helvetica"/>
          <w:b/>
          <w:sz w:val="33"/>
          <w:szCs w:val="33"/>
        </w:rPr>
        <w:lastRenderedPageBreak/>
        <w:t>Eliminating Property Taxes i</w:t>
      </w:r>
      <w:bookmarkStart w:id="0" w:name="_GoBack"/>
      <w:bookmarkEnd w:id="0"/>
      <w:r w:rsidRPr="00625E21">
        <w:rPr>
          <w:rFonts w:ascii="Helvetica" w:eastAsia="Times New Roman" w:hAnsi="Helvetica" w:cs="Helvetica"/>
          <w:b/>
          <w:sz w:val="33"/>
          <w:szCs w:val="33"/>
        </w:rPr>
        <w:t>s Extreme and Unnecessary</w:t>
      </w:r>
    </w:p>
    <w:p w14:paraId="4FA58ABD" w14:textId="77777777" w:rsidR="001A7488" w:rsidRPr="00B72060" w:rsidRDefault="001A7488" w:rsidP="001A7488">
      <w:pPr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szCs w:val="21"/>
        </w:rPr>
        <w:t>Property taxes are the most stable and reliable source of funding for public schools.</w:t>
      </w:r>
    </w:p>
    <w:p w14:paraId="3B0F80D0" w14:textId="4D037392" w:rsidR="002D12AB" w:rsidRDefault="001A7488" w:rsidP="002D12AB">
      <w:pPr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szCs w:val="21"/>
        </w:rPr>
        <w:t xml:space="preserve">Property taxes are high in some areas in the state, but they are low in a greater number of localities. Eliminating all school property taxes is </w:t>
      </w:r>
      <w:r w:rsidR="000B425E">
        <w:rPr>
          <w:rFonts w:ascii="Helvetica" w:eastAsia="Times New Roman" w:hAnsi="Helvetica" w:cs="Helvetica"/>
          <w:szCs w:val="21"/>
        </w:rPr>
        <w:t xml:space="preserve">a </w:t>
      </w:r>
      <w:r w:rsidRPr="00B72060">
        <w:rPr>
          <w:rFonts w:ascii="Helvetica" w:eastAsia="Times New Roman" w:hAnsi="Helvetica" w:cs="Helvetica"/>
          <w:szCs w:val="21"/>
        </w:rPr>
        <w:t>large and unjustifie</w:t>
      </w:r>
      <w:r w:rsidR="002D12AB">
        <w:rPr>
          <w:rFonts w:ascii="Helvetica" w:eastAsia="Times New Roman" w:hAnsi="Helvetica" w:cs="Helvetica"/>
          <w:szCs w:val="21"/>
        </w:rPr>
        <w:t>d response to a limited problem</w:t>
      </w:r>
      <w:r w:rsidR="00D06828">
        <w:rPr>
          <w:rFonts w:ascii="Helvetica" w:eastAsia="Times New Roman" w:hAnsi="Helvetica" w:cs="Helvetica"/>
          <w:szCs w:val="21"/>
        </w:rPr>
        <w:t>.</w:t>
      </w:r>
      <w:r w:rsidR="00D06828" w:rsidRPr="00B72060">
        <w:rPr>
          <w:rFonts w:ascii="Helvetica" w:eastAsia="Times New Roman" w:hAnsi="Helvetica" w:cs="Helvetica"/>
          <w:szCs w:val="21"/>
        </w:rPr>
        <w:t xml:space="preserve"> </w:t>
      </w:r>
    </w:p>
    <w:p w14:paraId="5CCD9044" w14:textId="18758A1F" w:rsidR="001A7488" w:rsidRPr="002D12AB" w:rsidRDefault="001A7488" w:rsidP="002D12AB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szCs w:val="21"/>
        </w:rPr>
      </w:pPr>
      <w:r w:rsidRPr="002D12AB">
        <w:rPr>
          <w:rFonts w:ascii="Helvetica" w:eastAsia="Times New Roman" w:hAnsi="Helvetica" w:cs="Helvetica"/>
          <w:b/>
          <w:szCs w:val="21"/>
        </w:rPr>
        <w:t>In 45 of 67 counties, all property taxes (municipal, county, school) were</w:t>
      </w:r>
      <w:r w:rsidR="000B425E">
        <w:rPr>
          <w:rFonts w:ascii="Helvetica" w:eastAsia="Times New Roman" w:hAnsi="Helvetica" w:cs="Helvetica"/>
          <w:b/>
          <w:szCs w:val="21"/>
        </w:rPr>
        <w:t>,</w:t>
      </w:r>
      <w:r w:rsidRPr="002D12AB">
        <w:rPr>
          <w:rFonts w:ascii="Helvetica" w:eastAsia="Times New Roman" w:hAnsi="Helvetica" w:cs="Helvetica"/>
          <w:b/>
          <w:szCs w:val="21"/>
        </w:rPr>
        <w:t xml:space="preserve"> on average, $2000</w:t>
      </w:r>
      <w:r w:rsidRPr="002D12AB">
        <w:rPr>
          <w:rFonts w:ascii="Helvetica" w:eastAsia="Times New Roman" w:hAnsi="Helvetica" w:cs="Helvetica"/>
          <w:szCs w:val="21"/>
        </w:rPr>
        <w:t xml:space="preserve"> or less per year</w:t>
      </w:r>
      <w:r w:rsidR="000B425E">
        <w:rPr>
          <w:rFonts w:ascii="Helvetica" w:eastAsia="Times New Roman" w:hAnsi="Helvetica" w:cs="Helvetica"/>
          <w:szCs w:val="21"/>
        </w:rPr>
        <w:t xml:space="preserve"> – </w:t>
      </w:r>
      <w:r w:rsidRPr="002D12AB">
        <w:rPr>
          <w:rFonts w:ascii="Helvetica" w:eastAsia="Times New Roman" w:hAnsi="Helvetica" w:cs="Helvetica"/>
          <w:szCs w:val="21"/>
        </w:rPr>
        <w:t>about $167 per month.</w:t>
      </w:r>
    </w:p>
    <w:p w14:paraId="55245F56" w14:textId="77777777" w:rsidR="00B72060" w:rsidRPr="00B72060" w:rsidRDefault="00B72060" w:rsidP="00B72060">
      <w:pPr>
        <w:pStyle w:val="ListParagraph"/>
        <w:rPr>
          <w:rFonts w:ascii="Helvetica" w:eastAsia="Times New Roman" w:hAnsi="Helvetica" w:cs="Helvetica"/>
          <w:szCs w:val="21"/>
        </w:rPr>
      </w:pPr>
    </w:p>
    <w:p w14:paraId="6F6A4FE3" w14:textId="7040982F" w:rsidR="001A7488" w:rsidRPr="00B72060" w:rsidRDefault="00B72060" w:rsidP="00B72060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b/>
          <w:szCs w:val="21"/>
        </w:rPr>
        <w:t>Property taxes can be considered high in just 30 of 500 school districts</w:t>
      </w:r>
      <w:r w:rsidRPr="00B72060">
        <w:rPr>
          <w:rFonts w:ascii="Helvetica" w:eastAsia="Times New Roman" w:hAnsi="Helvetica" w:cs="Helvetica"/>
          <w:szCs w:val="21"/>
        </w:rPr>
        <w:t>. In contrast, these taxes are low (less than 1.5% of taxable income in a district) in one out of every four school districts</w:t>
      </w:r>
      <w:r w:rsidR="000B425E">
        <w:rPr>
          <w:rFonts w:ascii="Helvetica" w:eastAsia="Times New Roman" w:hAnsi="Helvetica" w:cs="Helvetica"/>
          <w:szCs w:val="21"/>
        </w:rPr>
        <w:t xml:space="preserve"> – </w:t>
      </w:r>
      <w:r w:rsidRPr="00B72060">
        <w:rPr>
          <w:rFonts w:ascii="Helvetica" w:eastAsia="Times New Roman" w:hAnsi="Helvetica" w:cs="Helvetica"/>
          <w:szCs w:val="21"/>
        </w:rPr>
        <w:t>129 in total.</w:t>
      </w:r>
    </w:p>
    <w:p w14:paraId="5C87BC03" w14:textId="77777777" w:rsidR="00B72060" w:rsidRPr="00B72060" w:rsidRDefault="00B72060" w:rsidP="00B72060">
      <w:pPr>
        <w:pStyle w:val="ListParagraph"/>
        <w:rPr>
          <w:rFonts w:ascii="Helvetica" w:eastAsia="Times New Roman" w:hAnsi="Helvetica" w:cs="Helvetica"/>
          <w:szCs w:val="21"/>
        </w:rPr>
      </w:pPr>
    </w:p>
    <w:p w14:paraId="5E44A55E" w14:textId="791B2381" w:rsidR="00B72060" w:rsidRPr="00B72060" w:rsidRDefault="00B72060" w:rsidP="00B72060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szCs w:val="21"/>
        </w:rPr>
      </w:pPr>
      <w:r w:rsidRPr="00B72060">
        <w:rPr>
          <w:rFonts w:ascii="Helvetica" w:eastAsia="Times New Roman" w:hAnsi="Helvetica" w:cs="Helvetica"/>
          <w:b/>
          <w:szCs w:val="21"/>
        </w:rPr>
        <w:t>PA property taxes are below the U.S. average</w:t>
      </w:r>
      <w:r w:rsidRPr="00B72060">
        <w:rPr>
          <w:rFonts w:ascii="Helvetica" w:eastAsia="Times New Roman" w:hAnsi="Helvetica" w:cs="Helvetica"/>
          <w:szCs w:val="21"/>
        </w:rPr>
        <w:t xml:space="preserve">. Nationally, property taxes as a share of personal income equaled 3.31% in 2011, compared to 3.07% in the </w:t>
      </w:r>
      <w:r w:rsidR="000B425E">
        <w:rPr>
          <w:rFonts w:ascii="Helvetica" w:eastAsia="Times New Roman" w:hAnsi="Helvetica" w:cs="Helvetica"/>
          <w:szCs w:val="21"/>
        </w:rPr>
        <w:t>c</w:t>
      </w:r>
      <w:r w:rsidR="000B425E" w:rsidRPr="00B72060">
        <w:rPr>
          <w:rFonts w:ascii="Helvetica" w:eastAsia="Times New Roman" w:hAnsi="Helvetica" w:cs="Helvetica"/>
          <w:szCs w:val="21"/>
        </w:rPr>
        <w:t>ommonwealth</w:t>
      </w:r>
      <w:r w:rsidRPr="00B72060">
        <w:rPr>
          <w:rFonts w:ascii="Helvetica" w:eastAsia="Times New Roman" w:hAnsi="Helvetica" w:cs="Helvetica"/>
          <w:szCs w:val="21"/>
        </w:rPr>
        <w:t>.</w:t>
      </w:r>
    </w:p>
    <w:p w14:paraId="0A88DEAB" w14:textId="77777777" w:rsidR="00B72060" w:rsidRPr="00B72060" w:rsidRDefault="00B72060" w:rsidP="00B72060">
      <w:pPr>
        <w:pStyle w:val="ListParagraph"/>
        <w:rPr>
          <w:rFonts w:ascii="Helvetica" w:eastAsia="Times New Roman" w:hAnsi="Helvetica" w:cs="Helvetica"/>
          <w:szCs w:val="21"/>
        </w:rPr>
      </w:pPr>
    </w:p>
    <w:p w14:paraId="3FD2FF97" w14:textId="77777777" w:rsidR="00B72060" w:rsidRPr="00B72060" w:rsidRDefault="00B72060" w:rsidP="00B72060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sz w:val="21"/>
          <w:szCs w:val="21"/>
        </w:rPr>
      </w:pPr>
      <w:r w:rsidRPr="00B72060">
        <w:rPr>
          <w:rFonts w:ascii="Helvetica" w:eastAsia="Times New Roman" w:hAnsi="Helvetica" w:cs="Helvetica"/>
          <w:b/>
          <w:szCs w:val="21"/>
        </w:rPr>
        <w:t>Lower than U.S. average taxes is the norm</w:t>
      </w:r>
      <w:r w:rsidR="000B425E">
        <w:rPr>
          <w:rFonts w:ascii="Helvetica" w:eastAsia="Times New Roman" w:hAnsi="Helvetica" w:cs="Helvetica"/>
          <w:b/>
          <w:szCs w:val="21"/>
        </w:rPr>
        <w:t xml:space="preserve"> in PA</w:t>
      </w:r>
      <w:r w:rsidRPr="00B72060">
        <w:rPr>
          <w:rFonts w:ascii="Helvetica" w:eastAsia="Times New Roman" w:hAnsi="Helvetica" w:cs="Helvetica"/>
          <w:szCs w:val="21"/>
        </w:rPr>
        <w:t>. Since 1977, property taxes as a share of personal income have been below the national average.</w:t>
      </w:r>
    </w:p>
    <w:p w14:paraId="1CA429E9" w14:textId="7D4448EC" w:rsidR="00B72060" w:rsidRPr="00FA067F" w:rsidRDefault="00B72060" w:rsidP="001A7488">
      <w:pPr>
        <w:rPr>
          <w:rFonts w:ascii="Helvetica" w:eastAsia="Times New Roman" w:hAnsi="Helvetica" w:cs="Helvetica"/>
          <w:b/>
          <w:szCs w:val="21"/>
        </w:rPr>
      </w:pPr>
      <w:r w:rsidRPr="00FA067F">
        <w:rPr>
          <w:rFonts w:ascii="Helvetica" w:eastAsia="Times New Roman" w:hAnsi="Helvetica" w:cs="Helvetica"/>
          <w:b/>
          <w:szCs w:val="21"/>
        </w:rPr>
        <w:t xml:space="preserve">Fixing county property tax assessments </w:t>
      </w:r>
      <w:r w:rsidR="000B425E">
        <w:rPr>
          <w:rFonts w:ascii="Helvetica" w:eastAsia="Times New Roman" w:hAnsi="Helvetica" w:cs="Helvetica"/>
          <w:b/>
          <w:szCs w:val="21"/>
        </w:rPr>
        <w:t xml:space="preserve">should be </w:t>
      </w:r>
      <w:r w:rsidRPr="00FA067F">
        <w:rPr>
          <w:rFonts w:ascii="Helvetica" w:eastAsia="Times New Roman" w:hAnsi="Helvetica" w:cs="Helvetica"/>
          <w:b/>
          <w:szCs w:val="21"/>
        </w:rPr>
        <w:t>the first step of any property tax reform plan</w:t>
      </w:r>
      <w:r w:rsidR="00D06828">
        <w:rPr>
          <w:rFonts w:ascii="Helvetica" w:eastAsia="Times New Roman" w:hAnsi="Helvetica" w:cs="Helvetica"/>
          <w:b/>
          <w:szCs w:val="21"/>
        </w:rPr>
        <w:t>.</w:t>
      </w:r>
    </w:p>
    <w:p w14:paraId="60E89241" w14:textId="77777777" w:rsidR="00B72060" w:rsidRDefault="00B72060" w:rsidP="002D12AB">
      <w:pPr>
        <w:pStyle w:val="ListParagraph"/>
        <w:numPr>
          <w:ilvl w:val="0"/>
          <w:numId w:val="6"/>
        </w:numPr>
        <w:rPr>
          <w:rFonts w:ascii="Helvetica" w:eastAsia="Times New Roman" w:hAnsi="Helvetica" w:cs="Helvetica"/>
          <w:szCs w:val="21"/>
        </w:rPr>
      </w:pPr>
      <w:r w:rsidRPr="00FA067F">
        <w:rPr>
          <w:rFonts w:ascii="Helvetica" w:eastAsia="Times New Roman" w:hAnsi="Helvetica" w:cs="Helvetica"/>
          <w:szCs w:val="21"/>
        </w:rPr>
        <w:t>One out of every four counties</w:t>
      </w:r>
      <w:r w:rsidRPr="002D12AB">
        <w:rPr>
          <w:rFonts w:ascii="Helvetica" w:eastAsia="Times New Roman" w:hAnsi="Helvetica" w:cs="Helvetica"/>
          <w:szCs w:val="21"/>
        </w:rPr>
        <w:t xml:space="preserve"> has </w:t>
      </w:r>
      <w:r w:rsidRPr="00FA067F">
        <w:rPr>
          <w:rFonts w:ascii="Helvetica" w:eastAsia="Times New Roman" w:hAnsi="Helvetica" w:cs="Helvetica"/>
          <w:b/>
          <w:szCs w:val="21"/>
        </w:rPr>
        <w:t>not reassessed property in 35 years or more</w:t>
      </w:r>
      <w:r w:rsidRPr="002D12AB">
        <w:rPr>
          <w:rFonts w:ascii="Helvetica" w:eastAsia="Times New Roman" w:hAnsi="Helvetica" w:cs="Helvetica"/>
          <w:szCs w:val="21"/>
        </w:rPr>
        <w:t>.</w:t>
      </w:r>
    </w:p>
    <w:p w14:paraId="553FB3CF" w14:textId="77777777" w:rsidR="00FA067F" w:rsidRDefault="00FA067F" w:rsidP="00FA067F">
      <w:pPr>
        <w:pStyle w:val="ListParagraph"/>
        <w:rPr>
          <w:rFonts w:ascii="Helvetica" w:eastAsia="Times New Roman" w:hAnsi="Helvetica" w:cs="Helvetica"/>
          <w:szCs w:val="21"/>
        </w:rPr>
      </w:pPr>
    </w:p>
    <w:p w14:paraId="07E1F122" w14:textId="77777777" w:rsidR="00B72060" w:rsidRPr="00FA067F" w:rsidRDefault="00B72060" w:rsidP="002D12AB">
      <w:pPr>
        <w:pStyle w:val="ListParagraph"/>
        <w:numPr>
          <w:ilvl w:val="0"/>
          <w:numId w:val="6"/>
        </w:numPr>
        <w:rPr>
          <w:rFonts w:ascii="Helvetica" w:eastAsia="Times New Roman" w:hAnsi="Helvetica" w:cs="Helvetica"/>
          <w:b/>
          <w:szCs w:val="21"/>
        </w:rPr>
      </w:pPr>
      <w:r w:rsidRPr="002D12AB">
        <w:rPr>
          <w:rFonts w:ascii="Helvetica" w:eastAsia="Times New Roman" w:hAnsi="Helvetica" w:cs="Helvetica"/>
          <w:szCs w:val="21"/>
        </w:rPr>
        <w:t>Two-thirds of counties</w:t>
      </w:r>
      <w:r w:rsidR="002D12AB" w:rsidRPr="002D12AB">
        <w:rPr>
          <w:rFonts w:ascii="Helvetica" w:eastAsia="Times New Roman" w:hAnsi="Helvetica" w:cs="Helvetica"/>
          <w:szCs w:val="21"/>
        </w:rPr>
        <w:t xml:space="preserve"> (48) have </w:t>
      </w:r>
      <w:r w:rsidR="002D12AB" w:rsidRPr="00FA067F">
        <w:rPr>
          <w:rFonts w:ascii="Helvetica" w:eastAsia="Times New Roman" w:hAnsi="Helvetica" w:cs="Helvetica"/>
          <w:b/>
          <w:szCs w:val="21"/>
        </w:rPr>
        <w:t>not had a county-wide reassessment in the last 10 years.</w:t>
      </w:r>
    </w:p>
    <w:p w14:paraId="01EC4C2B" w14:textId="3FAE77C7" w:rsidR="002D12AB" w:rsidRPr="00FA067F" w:rsidRDefault="002D12AB" w:rsidP="001A7488">
      <w:pPr>
        <w:rPr>
          <w:rFonts w:ascii="Helvetica" w:eastAsia="Times New Roman" w:hAnsi="Helvetica" w:cs="Helvetica"/>
          <w:b/>
          <w:szCs w:val="21"/>
        </w:rPr>
      </w:pPr>
      <w:r w:rsidRPr="00FA067F">
        <w:rPr>
          <w:rFonts w:ascii="Helvetica" w:eastAsia="Times New Roman" w:hAnsi="Helvetica" w:cs="Helvetica"/>
          <w:b/>
          <w:szCs w:val="21"/>
        </w:rPr>
        <w:t>Property tax levels vary widely, from county to county and school district to school district</w:t>
      </w:r>
      <w:r w:rsidR="00D06828">
        <w:rPr>
          <w:rFonts w:ascii="Helvetica" w:eastAsia="Times New Roman" w:hAnsi="Helvetica" w:cs="Helvetica"/>
          <w:b/>
          <w:szCs w:val="21"/>
        </w:rPr>
        <w:t>.</w:t>
      </w:r>
    </w:p>
    <w:p w14:paraId="6132C48B" w14:textId="77777777" w:rsidR="002D12AB" w:rsidRDefault="002D12AB" w:rsidP="00625E21">
      <w:pPr>
        <w:pStyle w:val="ListParagraph"/>
        <w:numPr>
          <w:ilvl w:val="0"/>
          <w:numId w:val="8"/>
        </w:numPr>
        <w:ind w:left="720"/>
        <w:rPr>
          <w:rFonts w:ascii="Helvetica" w:eastAsia="Times New Roman" w:hAnsi="Helvetica" w:cs="Helvetica"/>
          <w:szCs w:val="21"/>
        </w:rPr>
      </w:pPr>
      <w:r w:rsidRPr="00FA067F">
        <w:rPr>
          <w:rFonts w:ascii="Helvetica" w:eastAsia="Times New Roman" w:hAnsi="Helvetica" w:cs="Helvetica"/>
          <w:szCs w:val="21"/>
        </w:rPr>
        <w:t xml:space="preserve">Property taxes as a share of income are </w:t>
      </w:r>
      <w:r w:rsidRPr="00FA067F">
        <w:rPr>
          <w:rFonts w:ascii="Helvetica" w:eastAsia="Times New Roman" w:hAnsi="Helvetica" w:cs="Helvetica"/>
          <w:b/>
          <w:szCs w:val="21"/>
        </w:rPr>
        <w:t>higher in the eastern quarter of the state</w:t>
      </w:r>
      <w:r w:rsidRPr="00FA067F">
        <w:rPr>
          <w:rFonts w:ascii="Helvetica" w:eastAsia="Times New Roman" w:hAnsi="Helvetica" w:cs="Helvetica"/>
          <w:szCs w:val="21"/>
        </w:rPr>
        <w:t xml:space="preserve">, </w:t>
      </w:r>
      <w:r w:rsidR="00D06828">
        <w:rPr>
          <w:rFonts w:ascii="Helvetica" w:eastAsia="Times New Roman" w:hAnsi="Helvetica" w:cs="Helvetica"/>
          <w:szCs w:val="21"/>
        </w:rPr>
        <w:t xml:space="preserve">and </w:t>
      </w:r>
      <w:r w:rsidRPr="00FA067F">
        <w:rPr>
          <w:rFonts w:ascii="Helvetica" w:eastAsia="Times New Roman" w:hAnsi="Helvetica" w:cs="Helvetica"/>
          <w:szCs w:val="21"/>
        </w:rPr>
        <w:t>moderate in the other three-quarters of counties</w:t>
      </w:r>
      <w:r w:rsidR="000B425E">
        <w:rPr>
          <w:rFonts w:ascii="Helvetica" w:eastAsia="Times New Roman" w:hAnsi="Helvetica" w:cs="Helvetica"/>
          <w:szCs w:val="21"/>
        </w:rPr>
        <w:t>.</w:t>
      </w:r>
    </w:p>
    <w:p w14:paraId="73AAE7CE" w14:textId="77777777" w:rsidR="00FA067F" w:rsidRPr="00FA067F" w:rsidRDefault="00FA067F" w:rsidP="00625E21">
      <w:pPr>
        <w:pStyle w:val="ListParagraph"/>
        <w:rPr>
          <w:rFonts w:ascii="Helvetica" w:eastAsia="Times New Roman" w:hAnsi="Helvetica" w:cs="Helvetica"/>
          <w:szCs w:val="21"/>
        </w:rPr>
      </w:pPr>
    </w:p>
    <w:p w14:paraId="7E8BBC79" w14:textId="77777777" w:rsidR="002D12AB" w:rsidRDefault="002D12AB" w:rsidP="00625E21">
      <w:pPr>
        <w:pStyle w:val="ListParagraph"/>
        <w:numPr>
          <w:ilvl w:val="0"/>
          <w:numId w:val="8"/>
        </w:numPr>
        <w:ind w:left="720"/>
        <w:rPr>
          <w:rFonts w:ascii="Helvetica" w:eastAsia="Times New Roman" w:hAnsi="Helvetica" w:cs="Helvetica"/>
          <w:szCs w:val="21"/>
        </w:rPr>
      </w:pPr>
      <w:r w:rsidRPr="00FA067F">
        <w:rPr>
          <w:rFonts w:ascii="Helvetica" w:eastAsia="Times New Roman" w:hAnsi="Helvetica" w:cs="Helvetica"/>
          <w:b/>
          <w:szCs w:val="21"/>
        </w:rPr>
        <w:t>In 44 counties property taxes are less than 1.49% of housing price</w:t>
      </w:r>
      <w:r w:rsidRPr="00FA067F">
        <w:rPr>
          <w:rFonts w:ascii="Helvetica" w:eastAsia="Times New Roman" w:hAnsi="Helvetica" w:cs="Helvetica"/>
          <w:szCs w:val="21"/>
        </w:rPr>
        <w:t xml:space="preserve">, while in 22 counties median annual property taxes are 1.5% of value or greater. </w:t>
      </w:r>
    </w:p>
    <w:p w14:paraId="51CA6ADD" w14:textId="77777777" w:rsidR="00FA067F" w:rsidRPr="00FA067F" w:rsidRDefault="00FA067F" w:rsidP="00625E21">
      <w:pPr>
        <w:pStyle w:val="ListParagraph"/>
        <w:ind w:left="1080"/>
        <w:rPr>
          <w:rFonts w:ascii="Helvetica" w:eastAsia="Times New Roman" w:hAnsi="Helvetica" w:cs="Helvetica"/>
          <w:szCs w:val="21"/>
        </w:rPr>
      </w:pPr>
    </w:p>
    <w:p w14:paraId="5D727255" w14:textId="62D778B7" w:rsidR="002D12AB" w:rsidRPr="00FA067F" w:rsidRDefault="00D06828" w:rsidP="00625E21">
      <w:pPr>
        <w:pStyle w:val="ListParagraph"/>
        <w:numPr>
          <w:ilvl w:val="0"/>
          <w:numId w:val="8"/>
        </w:numPr>
        <w:ind w:left="720"/>
        <w:rPr>
          <w:rFonts w:ascii="Helvetica" w:eastAsia="Times New Roman" w:hAnsi="Helvetica" w:cs="Helvetica"/>
          <w:szCs w:val="21"/>
        </w:rPr>
      </w:pPr>
      <w:r>
        <w:rPr>
          <w:rFonts w:ascii="Helvetica" w:eastAsia="Times New Roman" w:hAnsi="Helvetica" w:cs="Helvetica"/>
          <w:szCs w:val="21"/>
        </w:rPr>
        <w:t>I</w:t>
      </w:r>
      <w:r w:rsidR="002D12AB" w:rsidRPr="00FA067F">
        <w:rPr>
          <w:rFonts w:ascii="Helvetica" w:eastAsia="Times New Roman" w:hAnsi="Helvetica" w:cs="Helvetica"/>
          <w:szCs w:val="21"/>
        </w:rPr>
        <w:t xml:space="preserve">n 6% of districts, </w:t>
      </w:r>
      <w:r w:rsidRPr="00FA067F">
        <w:rPr>
          <w:rFonts w:ascii="Helvetica" w:eastAsia="Times New Roman" w:hAnsi="Helvetica" w:cs="Helvetica"/>
          <w:szCs w:val="21"/>
        </w:rPr>
        <w:t xml:space="preserve">school property </w:t>
      </w:r>
      <w:r w:rsidR="002D12AB" w:rsidRPr="00FA067F">
        <w:rPr>
          <w:rFonts w:ascii="Helvetica" w:eastAsia="Times New Roman" w:hAnsi="Helvetica" w:cs="Helvetica"/>
          <w:szCs w:val="21"/>
        </w:rPr>
        <w:t>taxes can be considered high</w:t>
      </w:r>
      <w:r>
        <w:rPr>
          <w:rFonts w:ascii="Helvetica" w:eastAsia="Times New Roman" w:hAnsi="Helvetica" w:cs="Helvetica"/>
          <w:szCs w:val="21"/>
        </w:rPr>
        <w:t>;</w:t>
      </w:r>
      <w:r w:rsidR="002D12AB" w:rsidRPr="00FA067F">
        <w:rPr>
          <w:rFonts w:ascii="Helvetica" w:eastAsia="Times New Roman" w:hAnsi="Helvetica" w:cs="Helvetica"/>
          <w:szCs w:val="21"/>
        </w:rPr>
        <w:t xml:space="preserve"> </w:t>
      </w:r>
      <w:r w:rsidR="002D12AB" w:rsidRPr="00FA067F">
        <w:rPr>
          <w:rFonts w:ascii="Helvetica" w:eastAsia="Times New Roman" w:hAnsi="Helvetica" w:cs="Helvetica"/>
          <w:b/>
          <w:szCs w:val="21"/>
        </w:rPr>
        <w:t xml:space="preserve">in </w:t>
      </w:r>
      <w:r w:rsidR="00FA067F" w:rsidRPr="00FA067F">
        <w:rPr>
          <w:rFonts w:ascii="Helvetica" w:eastAsia="Times New Roman" w:hAnsi="Helvetica" w:cs="Helvetica"/>
          <w:b/>
          <w:szCs w:val="21"/>
        </w:rPr>
        <w:t>68%</w:t>
      </w:r>
      <w:r>
        <w:rPr>
          <w:rFonts w:ascii="Helvetica" w:eastAsia="Times New Roman" w:hAnsi="Helvetica" w:cs="Helvetica"/>
          <w:b/>
          <w:szCs w:val="21"/>
        </w:rPr>
        <w:t>, these</w:t>
      </w:r>
      <w:r w:rsidR="00FA067F" w:rsidRPr="00FA067F">
        <w:rPr>
          <w:rFonts w:ascii="Helvetica" w:eastAsia="Times New Roman" w:hAnsi="Helvetica" w:cs="Helvetica"/>
          <w:b/>
          <w:szCs w:val="21"/>
        </w:rPr>
        <w:t xml:space="preserve"> taxes are moderate</w:t>
      </w:r>
      <w:r>
        <w:rPr>
          <w:rFonts w:ascii="Helvetica" w:eastAsia="Times New Roman" w:hAnsi="Helvetica" w:cs="Helvetica"/>
          <w:b/>
          <w:szCs w:val="21"/>
        </w:rPr>
        <w:t>;</w:t>
      </w:r>
      <w:r w:rsidR="00FA067F" w:rsidRPr="00FA067F">
        <w:rPr>
          <w:rFonts w:ascii="Helvetica" w:eastAsia="Times New Roman" w:hAnsi="Helvetica" w:cs="Helvetica"/>
          <w:b/>
          <w:szCs w:val="21"/>
        </w:rPr>
        <w:t xml:space="preserve"> a</w:t>
      </w:r>
      <w:r w:rsidR="00FA067F" w:rsidRPr="00FA067F">
        <w:rPr>
          <w:rFonts w:ascii="Helvetica" w:eastAsia="Times New Roman" w:hAnsi="Helvetica" w:cs="Helvetica"/>
          <w:szCs w:val="21"/>
        </w:rPr>
        <w:t xml:space="preserve">nd in 26%, taxes comparatively are low. </w:t>
      </w:r>
    </w:p>
    <w:p w14:paraId="0A98FCC0" w14:textId="7F3EF6BE" w:rsidR="002D12AB" w:rsidRPr="00FA067F" w:rsidRDefault="002D12AB" w:rsidP="002D12AB">
      <w:pPr>
        <w:rPr>
          <w:rFonts w:ascii="Helvetica" w:eastAsia="Times New Roman" w:hAnsi="Helvetica" w:cs="Helvetica"/>
        </w:rPr>
      </w:pPr>
      <w:r w:rsidRPr="00FA067F">
        <w:rPr>
          <w:rFonts w:ascii="Helvetica" w:eastAsia="Times New Roman" w:hAnsi="Helvetica" w:cs="Helvetica"/>
          <w:b/>
        </w:rPr>
        <w:t>A more targeted approach would protect schools and help people who have difficulty paying their taxes</w:t>
      </w:r>
      <w:r w:rsidR="00D06828">
        <w:rPr>
          <w:rFonts w:ascii="Helvetica" w:eastAsia="Times New Roman" w:hAnsi="Helvetica" w:cs="Helvetica"/>
        </w:rPr>
        <w:t>.</w:t>
      </w:r>
    </w:p>
    <w:p w14:paraId="2A250B5F" w14:textId="2D8CD74D" w:rsidR="00FA067F" w:rsidRDefault="00FA067F" w:rsidP="00625E21">
      <w:pPr>
        <w:pStyle w:val="ListParagraph"/>
        <w:numPr>
          <w:ilvl w:val="0"/>
          <w:numId w:val="9"/>
        </w:numPr>
        <w:ind w:left="720"/>
        <w:rPr>
          <w:rFonts w:ascii="Helvetica" w:eastAsia="Times New Roman" w:hAnsi="Helvetica" w:cs="Helvetica"/>
          <w:szCs w:val="21"/>
        </w:rPr>
      </w:pPr>
      <w:r>
        <w:rPr>
          <w:rFonts w:ascii="Helvetica" w:eastAsia="Times New Roman" w:hAnsi="Helvetica" w:cs="Helvetica"/>
          <w:szCs w:val="21"/>
        </w:rPr>
        <w:t xml:space="preserve">Income levels and rebate amounts for the Property Tax Rent Rebate (PTRR) program haven’t increased in eight years. </w:t>
      </w:r>
      <w:r w:rsidR="00D06828">
        <w:rPr>
          <w:rFonts w:ascii="Helvetica" w:eastAsia="Times New Roman" w:hAnsi="Helvetica" w:cs="Helvetica"/>
          <w:szCs w:val="21"/>
        </w:rPr>
        <w:t>PA should i</w:t>
      </w:r>
      <w:r>
        <w:rPr>
          <w:rFonts w:ascii="Helvetica" w:eastAsia="Times New Roman" w:hAnsi="Helvetica" w:cs="Helvetica"/>
          <w:szCs w:val="21"/>
        </w:rPr>
        <w:t>ncrease the rebate and index it to inflation.</w:t>
      </w:r>
    </w:p>
    <w:p w14:paraId="6A320923" w14:textId="77777777" w:rsidR="00FA067F" w:rsidRDefault="00FA067F" w:rsidP="00625E21">
      <w:pPr>
        <w:pStyle w:val="ListParagraph"/>
        <w:rPr>
          <w:rFonts w:ascii="Helvetica" w:eastAsia="Times New Roman" w:hAnsi="Helvetica" w:cs="Helvetica"/>
          <w:szCs w:val="21"/>
        </w:rPr>
      </w:pPr>
    </w:p>
    <w:p w14:paraId="1C956473" w14:textId="0F2C7D9E" w:rsidR="00FA067F" w:rsidRDefault="00D06828" w:rsidP="00625E21">
      <w:pPr>
        <w:pStyle w:val="ListParagraph"/>
        <w:numPr>
          <w:ilvl w:val="0"/>
          <w:numId w:val="9"/>
        </w:numPr>
        <w:ind w:left="720"/>
        <w:rPr>
          <w:rFonts w:ascii="Helvetica" w:eastAsia="Times New Roman" w:hAnsi="Helvetica" w:cs="Helvetica"/>
          <w:szCs w:val="21"/>
        </w:rPr>
      </w:pPr>
      <w:r>
        <w:rPr>
          <w:rFonts w:ascii="Helvetica" w:eastAsia="Times New Roman" w:hAnsi="Helvetica" w:cs="Helvetica"/>
          <w:szCs w:val="21"/>
        </w:rPr>
        <w:t>The state should m</w:t>
      </w:r>
      <w:r w:rsidR="00FA067F">
        <w:rPr>
          <w:rFonts w:ascii="Helvetica" w:eastAsia="Times New Roman" w:hAnsi="Helvetica" w:cs="Helvetica"/>
          <w:szCs w:val="21"/>
        </w:rPr>
        <w:t>ake the application process for the PTRR easier.</w:t>
      </w:r>
    </w:p>
    <w:p w14:paraId="2A3B565D" w14:textId="77777777" w:rsidR="00FA067F" w:rsidRPr="00FA067F" w:rsidRDefault="00FA067F" w:rsidP="00625E21">
      <w:pPr>
        <w:pStyle w:val="ListParagraph"/>
        <w:ind w:left="1080"/>
        <w:rPr>
          <w:rFonts w:ascii="Helvetica" w:eastAsia="Times New Roman" w:hAnsi="Helvetica" w:cs="Helvetica"/>
          <w:szCs w:val="21"/>
        </w:rPr>
      </w:pPr>
    </w:p>
    <w:p w14:paraId="416CE54F" w14:textId="38DBC54E" w:rsidR="00FA067F" w:rsidRDefault="00D06828" w:rsidP="00625E21">
      <w:pPr>
        <w:pStyle w:val="ListParagraph"/>
        <w:numPr>
          <w:ilvl w:val="0"/>
          <w:numId w:val="9"/>
        </w:numPr>
        <w:ind w:left="720"/>
        <w:rPr>
          <w:rFonts w:ascii="Helvetica" w:eastAsia="Times New Roman" w:hAnsi="Helvetica" w:cs="Helvetica"/>
          <w:szCs w:val="21"/>
        </w:rPr>
      </w:pPr>
      <w:r>
        <w:rPr>
          <w:rFonts w:ascii="Helvetica" w:eastAsia="Times New Roman" w:hAnsi="Helvetica" w:cs="Helvetica"/>
          <w:szCs w:val="21"/>
        </w:rPr>
        <w:t>The commonwealth should a</w:t>
      </w:r>
      <w:r w:rsidR="00FA067F">
        <w:rPr>
          <w:rFonts w:ascii="Helvetica" w:eastAsia="Times New Roman" w:hAnsi="Helvetica" w:cs="Helvetica"/>
          <w:szCs w:val="21"/>
        </w:rPr>
        <w:t xml:space="preserve">dd a property tax relief program for working age adults who have trouble paying property taxes. Working families are more likely to </w:t>
      </w:r>
      <w:r>
        <w:rPr>
          <w:rFonts w:ascii="Helvetica" w:eastAsia="Times New Roman" w:hAnsi="Helvetica" w:cs="Helvetica"/>
          <w:szCs w:val="21"/>
        </w:rPr>
        <w:t xml:space="preserve">be </w:t>
      </w:r>
      <w:r w:rsidR="00FA067F">
        <w:rPr>
          <w:rFonts w:ascii="Helvetica" w:eastAsia="Times New Roman" w:hAnsi="Helvetica" w:cs="Helvetica"/>
          <w:szCs w:val="21"/>
        </w:rPr>
        <w:t>pay</w:t>
      </w:r>
      <w:r>
        <w:rPr>
          <w:rFonts w:ascii="Helvetica" w:eastAsia="Times New Roman" w:hAnsi="Helvetica" w:cs="Helvetica"/>
          <w:szCs w:val="21"/>
        </w:rPr>
        <w:t>ing</w:t>
      </w:r>
      <w:r w:rsidR="00FA067F">
        <w:rPr>
          <w:rFonts w:ascii="Helvetica" w:eastAsia="Times New Roman" w:hAnsi="Helvetica" w:cs="Helvetica"/>
          <w:szCs w:val="21"/>
        </w:rPr>
        <w:t xml:space="preserve"> mortgages </w:t>
      </w:r>
      <w:r w:rsidR="00FA067F" w:rsidRPr="00FA067F">
        <w:rPr>
          <w:rFonts w:ascii="Helvetica" w:eastAsia="Times New Roman" w:hAnsi="Helvetica" w:cs="Helvetica"/>
          <w:i/>
          <w:szCs w:val="21"/>
        </w:rPr>
        <w:t>and</w:t>
      </w:r>
      <w:r w:rsidR="00FA067F">
        <w:rPr>
          <w:rFonts w:ascii="Helvetica" w:eastAsia="Times New Roman" w:hAnsi="Helvetica" w:cs="Helvetica"/>
          <w:szCs w:val="21"/>
        </w:rPr>
        <w:t xml:space="preserve"> property taxes.</w:t>
      </w:r>
    </w:p>
    <w:p w14:paraId="09A5D208" w14:textId="77777777" w:rsidR="00FA067F" w:rsidRPr="00FA067F" w:rsidRDefault="00FA067F" w:rsidP="00625E21">
      <w:pPr>
        <w:pStyle w:val="ListParagraph"/>
        <w:ind w:left="1080"/>
        <w:rPr>
          <w:rFonts w:ascii="Helvetica" w:eastAsia="Times New Roman" w:hAnsi="Helvetica" w:cs="Helvetica"/>
          <w:szCs w:val="21"/>
        </w:rPr>
      </w:pPr>
    </w:p>
    <w:p w14:paraId="48B1D0FB" w14:textId="3EFB47F5" w:rsidR="00FA067F" w:rsidRPr="001A7488" w:rsidRDefault="00D06828" w:rsidP="00625E21">
      <w:pPr>
        <w:pStyle w:val="ListParagraph"/>
        <w:numPr>
          <w:ilvl w:val="0"/>
          <w:numId w:val="9"/>
        </w:numPr>
        <w:ind w:left="720"/>
      </w:pPr>
      <w:r>
        <w:rPr>
          <w:rFonts w:ascii="Helvetica" w:eastAsia="Times New Roman" w:hAnsi="Helvetica" w:cs="Helvetica"/>
          <w:szCs w:val="21"/>
        </w:rPr>
        <w:t>PA should r</w:t>
      </w:r>
      <w:r w:rsidR="00FA067F">
        <w:rPr>
          <w:rFonts w:ascii="Helvetica" w:eastAsia="Times New Roman" w:hAnsi="Helvetica" w:cs="Helvetica"/>
          <w:szCs w:val="21"/>
        </w:rPr>
        <w:t>equire regular county wide reassessments and help to pay for them.</w:t>
      </w:r>
    </w:p>
    <w:sectPr w:rsidR="00FA067F" w:rsidRPr="001A7488" w:rsidSect="00625E21">
      <w:pgSz w:w="12240" w:h="15840"/>
      <w:pgMar w:top="117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DDE9" w14:textId="77777777" w:rsidR="00D45DB4" w:rsidRDefault="00D45DB4" w:rsidP="00580840">
      <w:pPr>
        <w:spacing w:after="0" w:line="240" w:lineRule="auto"/>
      </w:pPr>
      <w:r>
        <w:separator/>
      </w:r>
    </w:p>
  </w:endnote>
  <w:endnote w:type="continuationSeparator" w:id="0">
    <w:p w14:paraId="578792C9" w14:textId="77777777" w:rsidR="00D45DB4" w:rsidRDefault="00D45DB4" w:rsidP="0058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8D4B7" w14:textId="77777777" w:rsidR="00D45DB4" w:rsidRDefault="00D45DB4" w:rsidP="00580840">
      <w:pPr>
        <w:spacing w:after="0" w:line="240" w:lineRule="auto"/>
      </w:pPr>
      <w:r>
        <w:separator/>
      </w:r>
    </w:p>
  </w:footnote>
  <w:footnote w:type="continuationSeparator" w:id="0">
    <w:p w14:paraId="4AF3671A" w14:textId="77777777" w:rsidR="00D45DB4" w:rsidRDefault="00D45DB4" w:rsidP="0058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BFA"/>
    <w:multiLevelType w:val="multilevel"/>
    <w:tmpl w:val="5F8C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144D5"/>
    <w:multiLevelType w:val="multilevel"/>
    <w:tmpl w:val="C8A4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70E37"/>
    <w:multiLevelType w:val="multilevel"/>
    <w:tmpl w:val="11C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8081C"/>
    <w:multiLevelType w:val="hybridMultilevel"/>
    <w:tmpl w:val="AF62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807AB"/>
    <w:multiLevelType w:val="hybridMultilevel"/>
    <w:tmpl w:val="9716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665AF"/>
    <w:multiLevelType w:val="multilevel"/>
    <w:tmpl w:val="6484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63BE8"/>
    <w:multiLevelType w:val="hybridMultilevel"/>
    <w:tmpl w:val="6138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114039"/>
    <w:multiLevelType w:val="hybridMultilevel"/>
    <w:tmpl w:val="16400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CE021E"/>
    <w:multiLevelType w:val="hybridMultilevel"/>
    <w:tmpl w:val="B30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40"/>
    <w:rsid w:val="00043B22"/>
    <w:rsid w:val="000B425E"/>
    <w:rsid w:val="000D017A"/>
    <w:rsid w:val="001A7488"/>
    <w:rsid w:val="002D12AB"/>
    <w:rsid w:val="004012A0"/>
    <w:rsid w:val="00433E4A"/>
    <w:rsid w:val="00580840"/>
    <w:rsid w:val="00625E21"/>
    <w:rsid w:val="006C59DD"/>
    <w:rsid w:val="009977CB"/>
    <w:rsid w:val="00B72060"/>
    <w:rsid w:val="00D06828"/>
    <w:rsid w:val="00D45DB4"/>
    <w:rsid w:val="00DD0CA1"/>
    <w:rsid w:val="00E2117E"/>
    <w:rsid w:val="00F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7258"/>
  <w15:chartTrackingRefBased/>
  <w15:docId w15:val="{A23366D8-4790-4C2D-AEAC-781B2176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8084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08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08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08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084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DefaultParagraphFont"/>
    <w:rsid w:val="00580840"/>
  </w:style>
  <w:style w:type="character" w:styleId="Strong">
    <w:name w:val="Strong"/>
    <w:basedOn w:val="DefaultParagraphFont"/>
    <w:uiPriority w:val="22"/>
    <w:qFormat/>
    <w:rsid w:val="00580840"/>
    <w:rPr>
      <w:b/>
      <w:bCs/>
    </w:rPr>
  </w:style>
  <w:style w:type="character" w:styleId="Emphasis">
    <w:name w:val="Emphasis"/>
    <w:basedOn w:val="DefaultParagraphFont"/>
    <w:uiPriority w:val="20"/>
    <w:qFormat/>
    <w:rsid w:val="005808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40"/>
  </w:style>
  <w:style w:type="paragraph" w:styleId="Footer">
    <w:name w:val="footer"/>
    <w:basedOn w:val="Normal"/>
    <w:link w:val="FooterChar"/>
    <w:uiPriority w:val="99"/>
    <w:unhideWhenUsed/>
    <w:rsid w:val="0058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40"/>
  </w:style>
  <w:style w:type="paragraph" w:styleId="BalloonText">
    <w:name w:val="Balloon Text"/>
    <w:basedOn w:val="Normal"/>
    <w:link w:val="BalloonTextChar"/>
    <w:uiPriority w:val="99"/>
    <w:semiHidden/>
    <w:unhideWhenUsed/>
    <w:rsid w:val="00DD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0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5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8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0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0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9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44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43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7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42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46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5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9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Ward</dc:creator>
  <cp:keywords/>
  <dc:description/>
  <cp:lastModifiedBy>Sandra Strauss</cp:lastModifiedBy>
  <cp:revision>2</cp:revision>
  <cp:lastPrinted>2014-10-07T16:07:00Z</cp:lastPrinted>
  <dcterms:created xsi:type="dcterms:W3CDTF">2017-04-19T19:48:00Z</dcterms:created>
  <dcterms:modified xsi:type="dcterms:W3CDTF">2017-04-19T19:48:00Z</dcterms:modified>
</cp:coreProperties>
</file>